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Механизмы  государственно- частного партнерства на российском и зарубежном рынках</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22.71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«Механизмы государственно-частного партнерства на российском и зарубежном рынках»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«Механизмы  государственно- частного партнерства на российском и зарубежном рынках».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«Механизмы  государственно-частного партнерства на российском и зарубежном рынках»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обеспечению общеорганизационной подготовки проекта государственно- частного партнерства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 знать особенности и практику применения механизмов государственно-частного партнерства на российском и зарубежном рынках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ПК-3.25 уметь проводить анализ и оценку технической части разделов конкурсной документации, технической части технико-экономического обоснования проекта государственно-частного партнерства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ПК-3.27 уметь разрабатывать структуру и содержание организационных документов в рамках проекта государственно-частного партнерства, алгоритмы, модели, схемы, механизмы проекта государственно-частного партнерства на рос-сийском и зарубежном рынке</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ПК-3.49 владеть  навыками разработки структуры  и содержания организационных документов в рамках проекта государственно-частного партнерства,  алгоритмы, модели, схемы, механизмы проекта государственно-частного партнерства на российском и зарубежном рынке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«Механизмы  государственно-частного партнерства на российском и зарубежном рынках» относится к обязательной части, является дисциплиной Блока Б1. «Дисциплины (модули)». Модуль "Общеорганизационная подготовка проектов государственно-частного партнерства"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Механизмы и модели ГЧП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ГЧП за рубежом: общие сведения.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Механизмы финансирования проектов ГЧП в России и за рубежом.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Сравнительный анализ российского и зарубежного опыта в сфере реализации проектов в формате ГЧП.</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688.819"/>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Механизмы и модели ГЧП В России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912.13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Исследование и анализ организационных структур управления проектами.</w:t>
            </w:r>
          </w:p>
          <w:p>
            <w:pPr>
              <w:jc w:val="both"/>
              <w:spacing w:after="0" w:line="240" w:lineRule="auto"/>
              <w:rPr>
                <w:sz w:val="24"/>
                <w:szCs w:val="24"/>
              </w:rPr>
            </w:pPr>
            <w:r>
              <w:rPr>
                <w:rFonts w:ascii="Times New Roman" w:hAnsi="Times New Roman" w:cs="Times New Roman"/>
                <w:color w:val="#000000"/>
                <w:sz w:val="24"/>
                <w:szCs w:val="24"/>
              </w:rPr>
              <w:t> 2. Исследование основных принципов и методов формирования команды проекта.</w:t>
            </w:r>
          </w:p>
          <w:p>
            <w:pPr>
              <w:jc w:val="both"/>
              <w:spacing w:after="0" w:line="240" w:lineRule="auto"/>
              <w:rPr>
                <w:sz w:val="24"/>
                <w:szCs w:val="24"/>
              </w:rPr>
            </w:pPr>
            <w:r>
              <w:rPr>
                <w:rFonts w:ascii="Times New Roman" w:hAnsi="Times New Roman" w:cs="Times New Roman"/>
                <w:color w:val="#000000"/>
                <w:sz w:val="24"/>
                <w:szCs w:val="24"/>
              </w:rPr>
              <w:t> 3. Исследование и анализ ключевых должностей компании и их обязанностей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управлении проектами.</w:t>
            </w:r>
          </w:p>
          <w:p>
            <w:pPr>
              <w:jc w:val="both"/>
              <w:spacing w:after="0" w:line="240" w:lineRule="auto"/>
              <w:rPr>
                <w:sz w:val="24"/>
                <w:szCs w:val="24"/>
              </w:rPr>
            </w:pPr>
            <w:r>
              <w:rPr>
                <w:rFonts w:ascii="Times New Roman" w:hAnsi="Times New Roman" w:cs="Times New Roman"/>
                <w:color w:val="#000000"/>
                <w:sz w:val="24"/>
                <w:szCs w:val="24"/>
              </w:rPr>
              <w:t> 4. Анализ основных принципов организации и проектирования офиса проекта.</w:t>
            </w:r>
          </w:p>
          <w:p>
            <w:pPr>
              <w:jc w:val="both"/>
              <w:spacing w:after="0" w:line="240" w:lineRule="auto"/>
              <w:rPr>
                <w:sz w:val="24"/>
                <w:szCs w:val="24"/>
              </w:rPr>
            </w:pPr>
            <w:r>
              <w:rPr>
                <w:rFonts w:ascii="Times New Roman" w:hAnsi="Times New Roman" w:cs="Times New Roman"/>
                <w:color w:val="#000000"/>
                <w:sz w:val="24"/>
                <w:szCs w:val="24"/>
              </w:rPr>
              <w:t> 5. Анализ методов структурного разбиения (декомпозиции) работ (WBS) при планировании работ в инвестиционной фазе.</w:t>
            </w:r>
          </w:p>
          <w:p>
            <w:pPr>
              <w:jc w:val="both"/>
              <w:spacing w:after="0" w:line="240" w:lineRule="auto"/>
              <w:rPr>
                <w:sz w:val="24"/>
                <w:szCs w:val="24"/>
              </w:rPr>
            </w:pPr>
            <w:r>
              <w:rPr>
                <w:rFonts w:ascii="Times New Roman" w:hAnsi="Times New Roman" w:cs="Times New Roman"/>
                <w:color w:val="#000000"/>
                <w:sz w:val="24"/>
                <w:szCs w:val="24"/>
              </w:rPr>
              <w:t> 6. Анализ сетевых методов планирования работ по проекту и их использование в инвестиционном проектировании.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ГЧП за рубежом: общие сведения.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Анализ основных методов управления стоимостью работ в инвестиционной фазе проекта, в том числе метода освоенного объема, для контроля стоимости проекта.</w:t>
            </w:r>
          </w:p>
          <w:p>
            <w:pPr>
              <w:jc w:val="both"/>
              <w:spacing w:after="0" w:line="240" w:lineRule="auto"/>
              <w:rPr>
                <w:sz w:val="24"/>
                <w:szCs w:val="24"/>
              </w:rPr>
            </w:pPr>
            <w:r>
              <w:rPr>
                <w:rFonts w:ascii="Times New Roman" w:hAnsi="Times New Roman" w:cs="Times New Roman"/>
                <w:color w:val="#000000"/>
                <w:sz w:val="24"/>
                <w:szCs w:val="24"/>
              </w:rPr>
              <w:t> 2. Исследование методов управления ресурсами проекта с использованием сетевых методов.</w:t>
            </w:r>
          </w:p>
          <w:p>
            <w:pPr>
              <w:jc w:val="both"/>
              <w:spacing w:after="0" w:line="240" w:lineRule="auto"/>
              <w:rPr>
                <w:sz w:val="24"/>
                <w:szCs w:val="24"/>
              </w:rPr>
            </w:pPr>
            <w:r>
              <w:rPr>
                <w:rFonts w:ascii="Times New Roman" w:hAnsi="Times New Roman" w:cs="Times New Roman"/>
                <w:color w:val="#000000"/>
                <w:sz w:val="24"/>
                <w:szCs w:val="24"/>
              </w:rPr>
              <w:t> 3. Анализ метода критического пути в сетевом планировании проектов.</w:t>
            </w:r>
          </w:p>
          <w:p>
            <w:pPr>
              <w:jc w:val="both"/>
              <w:spacing w:after="0" w:line="240" w:lineRule="auto"/>
              <w:rPr>
                <w:sz w:val="24"/>
                <w:szCs w:val="24"/>
              </w:rPr>
            </w:pPr>
            <w:r>
              <w:rPr>
                <w:rFonts w:ascii="Times New Roman" w:hAnsi="Times New Roman" w:cs="Times New Roman"/>
                <w:color w:val="#000000"/>
                <w:sz w:val="24"/>
                <w:szCs w:val="24"/>
              </w:rPr>
              <w:t> 4. Сравнительный анализ компьютерного программного обеспечения, предназначенного для управления проектами.</w:t>
            </w:r>
          </w:p>
          <w:p>
            <w:pPr>
              <w:jc w:val="both"/>
              <w:spacing w:after="0" w:line="240" w:lineRule="auto"/>
              <w:rPr>
                <w:sz w:val="24"/>
                <w:szCs w:val="24"/>
              </w:rPr>
            </w:pPr>
            <w:r>
              <w:rPr>
                <w:rFonts w:ascii="Times New Roman" w:hAnsi="Times New Roman" w:cs="Times New Roman"/>
                <w:color w:val="#000000"/>
                <w:sz w:val="24"/>
                <w:szCs w:val="24"/>
              </w:rPr>
              <w:t> 5. Анализ методов управления качеством при планировании и реализации проектов.</w:t>
            </w:r>
          </w:p>
          <w:p>
            <w:pPr>
              <w:jc w:val="both"/>
              <w:spacing w:after="0" w:line="240" w:lineRule="auto"/>
              <w:rPr>
                <w:sz w:val="24"/>
                <w:szCs w:val="24"/>
              </w:rPr>
            </w:pPr>
            <w:r>
              <w:rPr>
                <w:rFonts w:ascii="Times New Roman" w:hAnsi="Times New Roman" w:cs="Times New Roman"/>
                <w:color w:val="#000000"/>
                <w:sz w:val="24"/>
                <w:szCs w:val="24"/>
              </w:rPr>
              <w:t> 6. Анализ международных и национальных стандартов в области управления проектами.</w:t>
            </w:r>
          </w:p>
          <w:p>
            <w:pPr>
              <w:jc w:val="both"/>
              <w:spacing w:after="0" w:line="240" w:lineRule="auto"/>
              <w:rPr>
                <w:sz w:val="24"/>
                <w:szCs w:val="24"/>
              </w:rPr>
            </w:pPr>
            <w:r>
              <w:rPr>
                <w:rFonts w:ascii="Times New Roman" w:hAnsi="Times New Roman" w:cs="Times New Roman"/>
                <w:color w:val="#000000"/>
                <w:sz w:val="24"/>
                <w:szCs w:val="24"/>
              </w:rPr>
              <w:t> 7. Инструменты командного управления в проектно-ориентированной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Механизмы финансирования проектов ГЧП в России и за рубежом.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Разработка системы стратегического управления проектами в компании</w:t>
            </w:r>
          </w:p>
          <w:p>
            <w:pPr>
              <w:jc w:val="both"/>
              <w:spacing w:after="0" w:line="240" w:lineRule="auto"/>
              <w:rPr>
                <w:sz w:val="24"/>
                <w:szCs w:val="24"/>
              </w:rPr>
            </w:pPr>
            <w:r>
              <w:rPr>
                <w:rFonts w:ascii="Times New Roman" w:hAnsi="Times New Roman" w:cs="Times New Roman"/>
                <w:color w:val="#000000"/>
                <w:sz w:val="24"/>
                <w:szCs w:val="24"/>
              </w:rPr>
              <w:t> 2. Использование теории ограничений в управлении проектами</w:t>
            </w:r>
          </w:p>
          <w:p>
            <w:pPr>
              <w:jc w:val="both"/>
              <w:spacing w:after="0" w:line="240" w:lineRule="auto"/>
              <w:rPr>
                <w:sz w:val="24"/>
                <w:szCs w:val="24"/>
              </w:rPr>
            </w:pPr>
            <w:r>
              <w:rPr>
                <w:rFonts w:ascii="Times New Roman" w:hAnsi="Times New Roman" w:cs="Times New Roman"/>
                <w:color w:val="#000000"/>
                <w:sz w:val="24"/>
                <w:szCs w:val="24"/>
              </w:rPr>
              <w:t> 3. Функционально-целевой подход в управлении проектами и портфелями проектов ГЧП</w:t>
            </w:r>
          </w:p>
          <w:p>
            <w:pPr>
              <w:jc w:val="both"/>
              <w:spacing w:after="0" w:line="240" w:lineRule="auto"/>
              <w:rPr>
                <w:sz w:val="24"/>
                <w:szCs w:val="24"/>
              </w:rPr>
            </w:pPr>
            <w:r>
              <w:rPr>
                <w:rFonts w:ascii="Times New Roman" w:hAnsi="Times New Roman" w:cs="Times New Roman"/>
                <w:color w:val="#000000"/>
                <w:sz w:val="24"/>
                <w:szCs w:val="24"/>
              </w:rPr>
              <w:t> 4. Применение информационных систем для управления проектами</w:t>
            </w:r>
          </w:p>
          <w:p>
            <w:pPr>
              <w:jc w:val="both"/>
              <w:spacing w:after="0" w:line="240" w:lineRule="auto"/>
              <w:rPr>
                <w:sz w:val="24"/>
                <w:szCs w:val="24"/>
              </w:rPr>
            </w:pPr>
            <w:r>
              <w:rPr>
                <w:rFonts w:ascii="Times New Roman" w:hAnsi="Times New Roman" w:cs="Times New Roman"/>
                <w:color w:val="#000000"/>
                <w:sz w:val="24"/>
                <w:szCs w:val="24"/>
              </w:rPr>
              <w:t> 5. Управление портфелем проектов по методу критической цепи</w:t>
            </w:r>
          </w:p>
          <w:p>
            <w:pPr>
              <w:jc w:val="both"/>
              <w:spacing w:after="0" w:line="240" w:lineRule="auto"/>
              <w:rPr>
                <w:sz w:val="24"/>
                <w:szCs w:val="24"/>
              </w:rPr>
            </w:pPr>
            <w:r>
              <w:rPr>
                <w:rFonts w:ascii="Times New Roman" w:hAnsi="Times New Roman" w:cs="Times New Roman"/>
                <w:color w:val="#000000"/>
                <w:sz w:val="24"/>
                <w:szCs w:val="24"/>
              </w:rPr>
              <w:t> 6. Концепция государственно-частного партнерства (ГЧП)</w:t>
            </w:r>
          </w:p>
          <w:p>
            <w:pPr>
              <w:jc w:val="both"/>
              <w:spacing w:after="0" w:line="240" w:lineRule="auto"/>
              <w:rPr>
                <w:sz w:val="24"/>
                <w:szCs w:val="24"/>
              </w:rPr>
            </w:pPr>
            <w:r>
              <w:rPr>
                <w:rFonts w:ascii="Times New Roman" w:hAnsi="Times New Roman" w:cs="Times New Roman"/>
                <w:color w:val="#000000"/>
                <w:sz w:val="24"/>
                <w:szCs w:val="24"/>
              </w:rPr>
              <w:t> 7. Определение и сферы применения государственно-частного партнерства</w:t>
            </w:r>
          </w:p>
          <w:p>
            <w:pPr>
              <w:jc w:val="both"/>
              <w:spacing w:after="0" w:line="240" w:lineRule="auto"/>
              <w:rPr>
                <w:sz w:val="24"/>
                <w:szCs w:val="24"/>
              </w:rPr>
            </w:pPr>
            <w:r>
              <w:rPr>
                <w:rFonts w:ascii="Times New Roman" w:hAnsi="Times New Roman" w:cs="Times New Roman"/>
                <w:color w:val="#000000"/>
                <w:sz w:val="24"/>
                <w:szCs w:val="24"/>
              </w:rPr>
              <w:t> 8. Характерные черты и основные виды ГЧП</w:t>
            </w:r>
          </w:p>
          <w:p>
            <w:pPr>
              <w:jc w:val="both"/>
              <w:spacing w:after="0" w:line="240" w:lineRule="auto"/>
              <w:rPr>
                <w:sz w:val="24"/>
                <w:szCs w:val="24"/>
              </w:rPr>
            </w:pPr>
            <w:r>
              <w:rPr>
                <w:rFonts w:ascii="Times New Roman" w:hAnsi="Times New Roman" w:cs="Times New Roman"/>
                <w:color w:val="#000000"/>
                <w:sz w:val="24"/>
                <w:szCs w:val="24"/>
              </w:rPr>
              <w:t> 9. Основные принципы заключения партнерства между частным бизнесом и государством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Сравнительный анализ российского и зарубежного опыта в сфере реализации проектов в формате ГЧП.</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Нормативно-правовая база реализации проектов ГЧП в Омской области. Основные формы ГЧП и виды поддержки проектов ГЧП в Омской области</w:t>
            </w:r>
          </w:p>
          <w:p>
            <w:pPr>
              <w:jc w:val="both"/>
              <w:spacing w:after="0" w:line="240" w:lineRule="auto"/>
              <w:rPr>
                <w:sz w:val="24"/>
                <w:szCs w:val="24"/>
              </w:rPr>
            </w:pPr>
            <w:r>
              <w:rPr>
                <w:rFonts w:ascii="Times New Roman" w:hAnsi="Times New Roman" w:cs="Times New Roman"/>
                <w:color w:val="#000000"/>
                <w:sz w:val="24"/>
                <w:szCs w:val="24"/>
              </w:rPr>
              <w:t> 2. Основные виды моделей ГЧП: организационные, финансовые и кооперационные</w:t>
            </w:r>
          </w:p>
          <w:p>
            <w:pPr>
              <w:jc w:val="both"/>
              <w:spacing w:after="0" w:line="240" w:lineRule="auto"/>
              <w:rPr>
                <w:sz w:val="24"/>
                <w:szCs w:val="24"/>
              </w:rPr>
            </w:pPr>
            <w:r>
              <w:rPr>
                <w:rFonts w:ascii="Times New Roman" w:hAnsi="Times New Roman" w:cs="Times New Roman"/>
                <w:color w:val="#000000"/>
                <w:sz w:val="24"/>
                <w:szCs w:val="24"/>
              </w:rPr>
              <w:t> 3. ГЧП-институты и ГЧП-инструменты: сущность, роль в развитии проектов ГЧП, основные виды</w:t>
            </w:r>
          </w:p>
          <w:p>
            <w:pPr>
              <w:jc w:val="both"/>
              <w:spacing w:after="0" w:line="240" w:lineRule="auto"/>
              <w:rPr>
                <w:sz w:val="24"/>
                <w:szCs w:val="24"/>
              </w:rPr>
            </w:pPr>
            <w:r>
              <w:rPr>
                <w:rFonts w:ascii="Times New Roman" w:hAnsi="Times New Roman" w:cs="Times New Roman"/>
                <w:color w:val="#000000"/>
                <w:sz w:val="24"/>
                <w:szCs w:val="24"/>
              </w:rPr>
              <w:t> 4. Использование государственной собственности в качестве инструмента финансирования инвестиционных проектов: аренда, лизинг, коммерческий наем</w:t>
            </w:r>
          </w:p>
          <w:p>
            <w:pPr>
              <w:jc w:val="both"/>
              <w:spacing w:after="0" w:line="240" w:lineRule="auto"/>
              <w:rPr>
                <w:sz w:val="24"/>
                <w:szCs w:val="24"/>
              </w:rPr>
            </w:pPr>
            <w:r>
              <w:rPr>
                <w:rFonts w:ascii="Times New Roman" w:hAnsi="Times New Roman" w:cs="Times New Roman"/>
                <w:color w:val="#000000"/>
                <w:sz w:val="24"/>
                <w:szCs w:val="24"/>
              </w:rPr>
              <w:t> 5. Лизинг: преимущества и недостатки</w:t>
            </w:r>
          </w:p>
          <w:p>
            <w:pPr>
              <w:jc w:val="both"/>
              <w:spacing w:after="0" w:line="240" w:lineRule="auto"/>
              <w:rPr>
                <w:sz w:val="24"/>
                <w:szCs w:val="24"/>
              </w:rPr>
            </w:pPr>
            <w:r>
              <w:rPr>
                <w:rFonts w:ascii="Times New Roman" w:hAnsi="Times New Roman" w:cs="Times New Roman"/>
                <w:color w:val="#000000"/>
                <w:sz w:val="24"/>
                <w:szCs w:val="24"/>
              </w:rPr>
              <w:t> 6. Концессия как форма ГЧП</w:t>
            </w:r>
          </w:p>
          <w:p>
            <w:pPr>
              <w:jc w:val="both"/>
              <w:spacing w:after="0" w:line="240" w:lineRule="auto"/>
              <w:rPr>
                <w:sz w:val="24"/>
                <w:szCs w:val="24"/>
              </w:rPr>
            </w:pPr>
            <w:r>
              <w:rPr>
                <w:rFonts w:ascii="Times New Roman" w:hAnsi="Times New Roman" w:cs="Times New Roman"/>
                <w:color w:val="#000000"/>
                <w:sz w:val="24"/>
                <w:szCs w:val="24"/>
              </w:rPr>
              <w:t> 7. Соглашение о разделе продукции как форма ГЧП</w:t>
            </w:r>
          </w:p>
          <w:p>
            <w:pPr>
              <w:jc w:val="both"/>
              <w:spacing w:after="0" w:line="240" w:lineRule="auto"/>
              <w:rPr>
                <w:sz w:val="24"/>
                <w:szCs w:val="24"/>
              </w:rPr>
            </w:pPr>
            <w:r>
              <w:rPr>
                <w:rFonts w:ascii="Times New Roman" w:hAnsi="Times New Roman" w:cs="Times New Roman"/>
                <w:color w:val="#000000"/>
                <w:sz w:val="24"/>
                <w:szCs w:val="24"/>
              </w:rPr>
              <w:t> 8. Контракт жизненного цикла как форма ГЧП</w:t>
            </w:r>
          </w:p>
          <w:p>
            <w:pPr>
              <w:jc w:val="both"/>
              <w:spacing w:after="0" w:line="240" w:lineRule="auto"/>
              <w:rPr>
                <w:sz w:val="24"/>
                <w:szCs w:val="24"/>
              </w:rPr>
            </w:pPr>
            <w:r>
              <w:rPr>
                <w:rFonts w:ascii="Times New Roman" w:hAnsi="Times New Roman" w:cs="Times New Roman"/>
                <w:color w:val="#000000"/>
                <w:sz w:val="24"/>
                <w:szCs w:val="24"/>
              </w:rPr>
              <w:t> 9. Государственно-частные предприятия – понятие, особенности образования и функционирования</w:t>
            </w:r>
          </w:p>
          <w:p>
            <w:pPr>
              <w:jc w:val="both"/>
              <w:spacing w:after="0" w:line="240" w:lineRule="auto"/>
              <w:rPr>
                <w:sz w:val="24"/>
                <w:szCs w:val="24"/>
              </w:rPr>
            </w:pPr>
            <w:r>
              <w:rPr>
                <w:rFonts w:ascii="Times New Roman" w:hAnsi="Times New Roman" w:cs="Times New Roman"/>
                <w:color w:val="#000000"/>
                <w:sz w:val="24"/>
                <w:szCs w:val="24"/>
              </w:rPr>
              <w:t> 10. Показатели социально-экономической эффективности проекта ГЧП</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«Механизмы государственно-частного партнерства на российском и зарубежном рынках» / Демьянов В.Г..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8.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335.01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осуществления образовательного процесса по дисциплине</w:t>
            </w:r>
          </w:p>
        </w:tc>
      </w:tr>
      <w:tr>
        <w:trPr>
          <w:trHeight w:hRule="exact" w:val="1508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2024-2025_ФГОС3++2024_Маг-ЗФО-ГМУ(ГРЭ)(24)_plx_Механизмы  государственно-частного партнерства на российском и зарубежном рынках</dc:title>
  <dc:creator>FastReport.NET</dc:creator>
</cp:coreProperties>
</file>